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749" w:rsidRPr="00653089" w:rsidRDefault="002A4749" w:rsidP="00462D48">
      <w:pPr>
        <w:spacing w:after="0" w:line="360" w:lineRule="auto"/>
        <w:ind w:firstLine="709"/>
        <w:jc w:val="center"/>
        <w:rPr>
          <w:rFonts w:ascii="Times New Roman" w:hAnsi="Times New Roman" w:cs="Times New Roman"/>
          <w:color w:val="000000" w:themeColor="text1"/>
          <w:sz w:val="28"/>
          <w:szCs w:val="28"/>
          <w:shd w:val="clear" w:color="auto" w:fill="FFFFFF"/>
        </w:rPr>
      </w:pPr>
      <w:r w:rsidRPr="00653089">
        <w:rPr>
          <w:rFonts w:ascii="Times New Roman" w:hAnsi="Times New Roman" w:cs="Times New Roman"/>
          <w:color w:val="000000" w:themeColor="text1"/>
          <w:sz w:val="28"/>
          <w:szCs w:val="28"/>
          <w:shd w:val="clear" w:color="auto" w:fill="FFFFFF"/>
        </w:rPr>
        <w:t>Статья 1</w:t>
      </w:r>
    </w:p>
    <w:p w:rsidR="00712198" w:rsidRPr="00ED15CA" w:rsidRDefault="002A4749" w:rsidP="00462D48">
      <w:pPr>
        <w:spacing w:after="0" w:line="360" w:lineRule="auto"/>
        <w:ind w:firstLine="709"/>
        <w:jc w:val="center"/>
        <w:rPr>
          <w:rFonts w:ascii="Times New Roman" w:hAnsi="Times New Roman" w:cs="Times New Roman"/>
          <w:color w:val="000000" w:themeColor="text1"/>
          <w:sz w:val="28"/>
          <w:szCs w:val="28"/>
          <w:shd w:val="clear" w:color="auto" w:fill="FFFFFF"/>
        </w:rPr>
      </w:pPr>
      <w:r w:rsidRPr="00653089">
        <w:rPr>
          <w:rFonts w:ascii="Times New Roman" w:hAnsi="Times New Roman" w:cs="Times New Roman"/>
          <w:color w:val="000000" w:themeColor="text1"/>
          <w:sz w:val="28"/>
          <w:szCs w:val="28"/>
          <w:shd w:val="clear" w:color="auto" w:fill="FFFFFF"/>
        </w:rPr>
        <w:t>Пути совершенствования тарифной политики в теплоэнергетике</w:t>
      </w:r>
    </w:p>
    <w:p w:rsidR="002A4749" w:rsidRDefault="002A4749" w:rsidP="00462D48">
      <w:pPr>
        <w:spacing w:after="0" w:line="360" w:lineRule="auto"/>
        <w:ind w:firstLine="709"/>
        <w:jc w:val="center"/>
        <w:rPr>
          <w:rFonts w:ascii="Times New Roman" w:hAnsi="Times New Roman" w:cs="Times New Roman"/>
          <w:color w:val="000000" w:themeColor="text1"/>
          <w:sz w:val="28"/>
          <w:szCs w:val="28"/>
          <w:shd w:val="clear" w:color="auto" w:fill="FFFFFF"/>
        </w:rPr>
      </w:pPr>
    </w:p>
    <w:p w:rsidR="00ED15CA" w:rsidRDefault="00ED15CA" w:rsidP="00462D48">
      <w:pPr>
        <w:spacing w:after="0" w:line="360" w:lineRule="auto"/>
        <w:ind w:firstLine="709"/>
        <w:jc w:val="center"/>
        <w:rPr>
          <w:rFonts w:ascii="Times New Roman" w:hAnsi="Times New Roman" w:cs="Times New Roman"/>
          <w:color w:val="000000" w:themeColor="text1"/>
          <w:sz w:val="28"/>
          <w:szCs w:val="28"/>
          <w:shd w:val="clear" w:color="auto" w:fill="FFFFFF"/>
        </w:rPr>
      </w:pPr>
      <w:r w:rsidRPr="00ED15CA">
        <w:rPr>
          <w:rFonts w:ascii="Times New Roman" w:hAnsi="Times New Roman" w:cs="Times New Roman"/>
          <w:color w:val="000000" w:themeColor="text1"/>
          <w:sz w:val="28"/>
          <w:szCs w:val="28"/>
          <w:shd w:val="clear" w:color="auto" w:fill="FFFFFF"/>
        </w:rPr>
        <w:t>Уральский государственный экономический университет (Екатеринбург, Россия)</w:t>
      </w:r>
    </w:p>
    <w:p w:rsidR="00462D48" w:rsidRDefault="00462D48" w:rsidP="00462D48">
      <w:pPr>
        <w:spacing w:after="0" w:line="360" w:lineRule="auto"/>
        <w:ind w:firstLine="709"/>
        <w:jc w:val="center"/>
        <w:rPr>
          <w:rFonts w:ascii="Times New Roman" w:hAnsi="Times New Roman" w:cs="Times New Roman"/>
          <w:color w:val="000000" w:themeColor="text1"/>
          <w:sz w:val="28"/>
          <w:szCs w:val="28"/>
          <w:shd w:val="clear" w:color="auto" w:fill="FFFFFF"/>
        </w:rPr>
      </w:pPr>
    </w:p>
    <w:p w:rsidR="00ED15CA" w:rsidRDefault="00ED15CA" w:rsidP="00462D48">
      <w:pPr>
        <w:spacing w:after="0" w:line="360" w:lineRule="auto"/>
        <w:ind w:firstLine="709"/>
        <w:jc w:val="center"/>
        <w:rPr>
          <w:rFonts w:ascii="Times New Roman" w:hAnsi="Times New Roman" w:cs="Times New Roman"/>
          <w:color w:val="000000" w:themeColor="text1"/>
          <w:sz w:val="28"/>
          <w:szCs w:val="28"/>
          <w:shd w:val="clear" w:color="auto" w:fill="FFFFFF"/>
        </w:rPr>
      </w:pPr>
      <w:r w:rsidRPr="00ED15CA">
        <w:rPr>
          <w:rFonts w:ascii="Times New Roman" w:hAnsi="Times New Roman" w:cs="Times New Roman"/>
          <w:color w:val="000000" w:themeColor="text1"/>
          <w:sz w:val="28"/>
          <w:szCs w:val="28"/>
          <w:shd w:val="clear" w:color="auto" w:fill="FFFFFF"/>
        </w:rPr>
        <w:t>Ключевые слова</w:t>
      </w:r>
      <w:r w:rsidR="00462D48">
        <w:rPr>
          <w:rFonts w:ascii="Times New Roman" w:hAnsi="Times New Roman" w:cs="Times New Roman"/>
          <w:color w:val="000000" w:themeColor="text1"/>
          <w:sz w:val="28"/>
          <w:szCs w:val="28"/>
          <w:shd w:val="clear" w:color="auto" w:fill="FFFFFF"/>
        </w:rPr>
        <w:t>:</w:t>
      </w:r>
      <w:r w:rsidRPr="00ED15CA">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Теплоэнергетика, тарифная политика, </w:t>
      </w:r>
      <w:r w:rsidRPr="00653089">
        <w:rPr>
          <w:rFonts w:ascii="Times New Roman" w:hAnsi="Times New Roman" w:cs="Times New Roman"/>
          <w:color w:val="000000" w:themeColor="text1"/>
          <w:sz w:val="28"/>
          <w:szCs w:val="28"/>
          <w:shd w:val="clear" w:color="auto" w:fill="FFFFFF"/>
        </w:rPr>
        <w:t>то</w:t>
      </w:r>
      <w:r>
        <w:rPr>
          <w:rFonts w:ascii="Times New Roman" w:hAnsi="Times New Roman" w:cs="Times New Roman"/>
          <w:color w:val="000000" w:themeColor="text1"/>
          <w:sz w:val="28"/>
          <w:szCs w:val="28"/>
          <w:shd w:val="clear" w:color="auto" w:fill="FFFFFF"/>
        </w:rPr>
        <w:t>пливно-энергетический комплекс, промышленность.</w:t>
      </w:r>
    </w:p>
    <w:p w:rsidR="00ED15CA" w:rsidRDefault="00ED15CA" w:rsidP="00653089">
      <w:pPr>
        <w:spacing w:after="0" w:line="360" w:lineRule="auto"/>
        <w:ind w:firstLine="709"/>
        <w:jc w:val="both"/>
        <w:rPr>
          <w:rFonts w:ascii="Times New Roman" w:hAnsi="Times New Roman" w:cs="Times New Roman"/>
          <w:color w:val="000000" w:themeColor="text1"/>
          <w:sz w:val="28"/>
          <w:szCs w:val="28"/>
          <w:shd w:val="clear" w:color="auto" w:fill="FFFFFF"/>
        </w:rPr>
      </w:pPr>
    </w:p>
    <w:p w:rsidR="00ED15CA" w:rsidRDefault="00ED15CA" w:rsidP="00653089">
      <w:pPr>
        <w:spacing w:after="0" w:line="360" w:lineRule="auto"/>
        <w:ind w:firstLine="709"/>
        <w:jc w:val="both"/>
        <w:rPr>
          <w:rFonts w:ascii="Times New Roman" w:hAnsi="Times New Roman" w:cs="Times New Roman"/>
          <w:color w:val="000000" w:themeColor="text1"/>
          <w:sz w:val="28"/>
          <w:szCs w:val="28"/>
          <w:shd w:val="clear" w:color="auto" w:fill="FFFFFF"/>
        </w:rPr>
      </w:pPr>
      <w:r w:rsidRPr="00ED15CA">
        <w:rPr>
          <w:rFonts w:ascii="Times New Roman" w:hAnsi="Times New Roman" w:cs="Times New Roman"/>
          <w:color w:val="000000" w:themeColor="text1"/>
          <w:sz w:val="28"/>
          <w:szCs w:val="28"/>
          <w:shd w:val="clear" w:color="auto" w:fill="FFFFFF"/>
        </w:rPr>
        <w:t xml:space="preserve">Аннотация. </w:t>
      </w:r>
      <w:r w:rsidR="00A91E71" w:rsidRPr="00A91E71">
        <w:rPr>
          <w:rFonts w:ascii="Times New Roman" w:hAnsi="Times New Roman" w:cs="Times New Roman"/>
          <w:color w:val="000000" w:themeColor="text1"/>
          <w:sz w:val="28"/>
          <w:szCs w:val="28"/>
          <w:shd w:val="clear" w:color="auto" w:fill="FFFFFF"/>
        </w:rPr>
        <w:t>В современном мире развития рыночной экономики особую роль играет взаимодействие государства и различных секторов экономики. Так, одной из важнейших сторон развития государственно-частного партнерства является топливно-энергетический комплекс. Это обусловлено тем, что ТЭК играет стратегически важную роль для государства и влияет на степень развитости экономики и национальной безопасности. Актуальность выбранной темы состоит преимущественно в том, что развитие и государственное регулирование топливно-энергетического комплекса носит стратегический характер для государства. Отражение целей есть на нормативно-правовом уровне. Так, в Федеральном законе от 28 июня 2014 г. № 172-ФЗ «О стратегическом плани</w:t>
      </w:r>
      <w:r w:rsidR="00A91E71">
        <w:rPr>
          <w:rFonts w:ascii="Times New Roman" w:hAnsi="Times New Roman" w:cs="Times New Roman"/>
          <w:color w:val="000000" w:themeColor="text1"/>
          <w:sz w:val="28"/>
          <w:szCs w:val="28"/>
          <w:shd w:val="clear" w:color="auto" w:fill="FFFFFF"/>
        </w:rPr>
        <w:t>ровании в Российской Федерации»</w:t>
      </w:r>
      <w:r w:rsidR="00A91E71" w:rsidRPr="00A91E71">
        <w:rPr>
          <w:rFonts w:ascii="Times New Roman" w:hAnsi="Times New Roman" w:cs="Times New Roman"/>
          <w:color w:val="000000" w:themeColor="text1"/>
          <w:sz w:val="28"/>
          <w:szCs w:val="28"/>
          <w:shd w:val="clear" w:color="auto" w:fill="FFFFFF"/>
        </w:rPr>
        <w:t xml:space="preserve"> имеет место отражение стратегии развития минерально-сырьевой базы, над которой активно ведется работа</w:t>
      </w:r>
      <w:r w:rsidR="00CF58E4">
        <w:rPr>
          <w:rFonts w:ascii="Times New Roman" w:hAnsi="Times New Roman" w:cs="Times New Roman"/>
          <w:color w:val="000000" w:themeColor="text1"/>
          <w:sz w:val="28"/>
          <w:szCs w:val="28"/>
          <w:shd w:val="clear" w:color="auto" w:fill="FFFFFF"/>
        </w:rPr>
        <w:t xml:space="preserve"> </w:t>
      </w:r>
      <w:r w:rsidR="00CF58E4" w:rsidRPr="00CF58E4">
        <w:rPr>
          <w:rFonts w:ascii="Times New Roman" w:hAnsi="Times New Roman" w:cs="Times New Roman"/>
          <w:color w:val="000000" w:themeColor="text1"/>
          <w:sz w:val="28"/>
          <w:szCs w:val="28"/>
          <w:shd w:val="clear" w:color="auto" w:fill="FFFFFF"/>
        </w:rPr>
        <w:t>[5]</w:t>
      </w:r>
      <w:r w:rsidR="00A91E71" w:rsidRPr="00A91E71">
        <w:rPr>
          <w:rFonts w:ascii="Times New Roman" w:hAnsi="Times New Roman" w:cs="Times New Roman"/>
          <w:color w:val="000000" w:themeColor="text1"/>
          <w:sz w:val="28"/>
          <w:szCs w:val="28"/>
          <w:shd w:val="clear" w:color="auto" w:fill="FFFFFF"/>
        </w:rPr>
        <w:t>.</w:t>
      </w:r>
    </w:p>
    <w:p w:rsidR="00ED15CA" w:rsidRPr="000D62BB" w:rsidRDefault="00A91E71" w:rsidP="00653089">
      <w:pPr>
        <w:spacing w:after="0" w:line="360" w:lineRule="auto"/>
        <w:ind w:firstLine="709"/>
        <w:jc w:val="both"/>
        <w:rPr>
          <w:rFonts w:ascii="Times New Roman" w:hAnsi="Times New Roman" w:cs="Times New Roman"/>
          <w:color w:val="000000" w:themeColor="text1"/>
          <w:sz w:val="28"/>
          <w:szCs w:val="28"/>
          <w:shd w:val="clear" w:color="auto" w:fill="FFFFFF"/>
          <w:lang w:val="en-US"/>
        </w:rPr>
      </w:pPr>
      <w:proofErr w:type="gramStart"/>
      <w:r w:rsidRPr="00A91E71">
        <w:rPr>
          <w:rFonts w:ascii="Times New Roman" w:hAnsi="Times New Roman" w:cs="Times New Roman"/>
          <w:color w:val="000000" w:themeColor="text1"/>
          <w:sz w:val="28"/>
          <w:szCs w:val="28"/>
          <w:shd w:val="clear" w:color="auto" w:fill="FFFFFF"/>
          <w:lang w:val="en-US"/>
        </w:rPr>
        <w:t>Annotation.</w:t>
      </w:r>
      <w:proofErr w:type="gramEnd"/>
      <w:r w:rsidRPr="00A91E71">
        <w:rPr>
          <w:rFonts w:ascii="Times New Roman" w:hAnsi="Times New Roman" w:cs="Times New Roman"/>
          <w:color w:val="000000" w:themeColor="text1"/>
          <w:sz w:val="28"/>
          <w:szCs w:val="28"/>
          <w:shd w:val="clear" w:color="auto" w:fill="FFFFFF"/>
          <w:lang w:val="en-US"/>
        </w:rPr>
        <w:t xml:space="preserve"> In the modern world of market economy development, the interaction of the state and various sectors of the economy </w:t>
      </w:r>
      <w:proofErr w:type="gramStart"/>
      <w:r w:rsidRPr="00A91E71">
        <w:rPr>
          <w:rFonts w:ascii="Times New Roman" w:hAnsi="Times New Roman" w:cs="Times New Roman"/>
          <w:color w:val="000000" w:themeColor="text1"/>
          <w:sz w:val="28"/>
          <w:szCs w:val="28"/>
          <w:shd w:val="clear" w:color="auto" w:fill="FFFFFF"/>
          <w:lang w:val="en-US"/>
        </w:rPr>
        <w:t>plays</w:t>
      </w:r>
      <w:proofErr w:type="gramEnd"/>
      <w:r w:rsidRPr="00A91E71">
        <w:rPr>
          <w:rFonts w:ascii="Times New Roman" w:hAnsi="Times New Roman" w:cs="Times New Roman"/>
          <w:color w:val="000000" w:themeColor="text1"/>
          <w:sz w:val="28"/>
          <w:szCs w:val="28"/>
          <w:shd w:val="clear" w:color="auto" w:fill="FFFFFF"/>
          <w:lang w:val="en-US"/>
        </w:rPr>
        <w:t xml:space="preserve"> a special role. Thus, one of the most important aspects of the development of public-private partnership is the fuel and energy complex. This is due to the fact that the fuel and energy sector plays a strategically important role for the state and affects the degree of development of the economy and national security. The relevance of the chosen topic consists mainly in the fact that the development and state regulation of the fuel and energy complex is of a strategic nature for the state. Goals are </w:t>
      </w:r>
      <w:r w:rsidRPr="00A91E71">
        <w:rPr>
          <w:rFonts w:ascii="Times New Roman" w:hAnsi="Times New Roman" w:cs="Times New Roman"/>
          <w:color w:val="000000" w:themeColor="text1"/>
          <w:sz w:val="28"/>
          <w:szCs w:val="28"/>
          <w:shd w:val="clear" w:color="auto" w:fill="FFFFFF"/>
          <w:lang w:val="en-US"/>
        </w:rPr>
        <w:lastRenderedPageBreak/>
        <w:t>reflected at the regulatory level. Thus, Federal law No. 172-FZ of June 28, 2014" on strategic planning in the Russian Federation " reflects the strategy for the development of the mineral resource base, which is actively being worked on.</w:t>
      </w:r>
    </w:p>
    <w:p w:rsidR="00A91E71" w:rsidRPr="000D62BB" w:rsidRDefault="00A91E71" w:rsidP="00653089">
      <w:pPr>
        <w:spacing w:after="0" w:line="360" w:lineRule="auto"/>
        <w:ind w:firstLine="709"/>
        <w:jc w:val="both"/>
        <w:rPr>
          <w:rFonts w:ascii="Times New Roman" w:hAnsi="Times New Roman" w:cs="Times New Roman"/>
          <w:color w:val="000000" w:themeColor="text1"/>
          <w:sz w:val="28"/>
          <w:szCs w:val="28"/>
          <w:shd w:val="clear" w:color="auto" w:fill="FFFFFF"/>
          <w:lang w:val="en-US"/>
        </w:rPr>
      </w:pPr>
    </w:p>
    <w:p w:rsidR="00653089" w:rsidRPr="00653089" w:rsidRDefault="00D242F2" w:rsidP="00AE1FCE">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Введение. </w:t>
      </w:r>
      <w:r w:rsidR="00653089" w:rsidRPr="00653089">
        <w:rPr>
          <w:rFonts w:ascii="Times New Roman" w:hAnsi="Times New Roman" w:cs="Times New Roman"/>
          <w:color w:val="000000" w:themeColor="text1"/>
          <w:sz w:val="28"/>
          <w:szCs w:val="28"/>
          <w:shd w:val="clear" w:color="auto" w:fill="FFFFFF"/>
        </w:rPr>
        <w:t xml:space="preserve">Со всеми отраслями народного хозяйства имеют тесную связь ключевые составляющие топливно-энергетического комплекса – электроэнергетика и топливная промышленность. Так, одна из основных связей у топливно-энергетического комплекса – транспортный комплекс, так как ТЭК использует в своей деятельности продукцию металлургии и машиностроения. Помимо этого важнейшим фактором </w:t>
      </w:r>
      <w:proofErr w:type="gramStart"/>
      <w:r w:rsidR="00653089" w:rsidRPr="00653089">
        <w:rPr>
          <w:rFonts w:ascii="Times New Roman" w:hAnsi="Times New Roman" w:cs="Times New Roman"/>
          <w:color w:val="000000" w:themeColor="text1"/>
          <w:sz w:val="28"/>
          <w:szCs w:val="28"/>
          <w:shd w:val="clear" w:color="auto" w:fill="FFFFFF"/>
        </w:rPr>
        <w:t>для</w:t>
      </w:r>
      <w:proofErr w:type="gramEnd"/>
      <w:r w:rsidR="00653089" w:rsidRPr="00653089">
        <w:rPr>
          <w:rFonts w:ascii="Times New Roman" w:hAnsi="Times New Roman" w:cs="Times New Roman"/>
          <w:color w:val="000000" w:themeColor="text1"/>
          <w:sz w:val="28"/>
          <w:szCs w:val="28"/>
          <w:shd w:val="clear" w:color="auto" w:fill="FFFFFF"/>
        </w:rPr>
        <w:t xml:space="preserve"> </w:t>
      </w:r>
      <w:proofErr w:type="gramStart"/>
      <w:r w:rsidR="00653089" w:rsidRPr="00653089">
        <w:rPr>
          <w:rFonts w:ascii="Times New Roman" w:hAnsi="Times New Roman" w:cs="Times New Roman"/>
          <w:color w:val="000000" w:themeColor="text1"/>
          <w:sz w:val="28"/>
          <w:szCs w:val="28"/>
          <w:shd w:val="clear" w:color="auto" w:fill="FFFFFF"/>
        </w:rPr>
        <w:t>ТЭК</w:t>
      </w:r>
      <w:proofErr w:type="gramEnd"/>
      <w:r w:rsidR="00653089" w:rsidRPr="00653089">
        <w:rPr>
          <w:rFonts w:ascii="Times New Roman" w:hAnsi="Times New Roman" w:cs="Times New Roman"/>
          <w:color w:val="000000" w:themeColor="text1"/>
          <w:sz w:val="28"/>
          <w:szCs w:val="28"/>
          <w:shd w:val="clear" w:color="auto" w:fill="FFFFFF"/>
        </w:rPr>
        <w:t xml:space="preserve"> выступает наличие развитой инфраструктуры – магистральные высоковольтные линии, трубопроводы и их единые сети. Однако естественные монополии находятся в ведомстве Правительства РФ и им же устанавливаются предельные уровни тарифов, рассматриваются инвестиционные программы, регулируется доступ к </w:t>
      </w:r>
      <w:proofErr w:type="spellStart"/>
      <w:r w:rsidR="00653089" w:rsidRPr="00653089">
        <w:rPr>
          <w:rFonts w:ascii="Times New Roman" w:hAnsi="Times New Roman" w:cs="Times New Roman"/>
          <w:color w:val="000000" w:themeColor="text1"/>
          <w:sz w:val="28"/>
          <w:szCs w:val="28"/>
          <w:shd w:val="clear" w:color="auto" w:fill="FFFFFF"/>
        </w:rPr>
        <w:t>газо</w:t>
      </w:r>
      <w:proofErr w:type="spellEnd"/>
      <w:r w:rsidR="00653089" w:rsidRPr="00653089">
        <w:rPr>
          <w:rFonts w:ascii="Times New Roman" w:hAnsi="Times New Roman" w:cs="Times New Roman"/>
          <w:color w:val="000000" w:themeColor="text1"/>
          <w:sz w:val="28"/>
          <w:szCs w:val="28"/>
          <w:shd w:val="clear" w:color="auto" w:fill="FFFFFF"/>
        </w:rPr>
        <w:t xml:space="preserve"> и нефтепроводам, определяются базовые задания поставок продуктов деятельности на внутренний рынок. Федеральная энергетическая комиссия (ФЭК) - исполнительный орган государственной власти, регулирующий естественные монополии. ФЭК, </w:t>
      </w:r>
      <w:proofErr w:type="gramStart"/>
      <w:r w:rsidR="00653089" w:rsidRPr="00653089">
        <w:rPr>
          <w:rFonts w:ascii="Times New Roman" w:hAnsi="Times New Roman" w:cs="Times New Roman"/>
          <w:color w:val="000000" w:themeColor="text1"/>
          <w:sz w:val="28"/>
          <w:szCs w:val="28"/>
          <w:shd w:val="clear" w:color="auto" w:fill="FFFFFF"/>
        </w:rPr>
        <w:t>рассматривающий</w:t>
      </w:r>
      <w:proofErr w:type="gramEnd"/>
      <w:r w:rsidR="00653089" w:rsidRPr="00653089">
        <w:rPr>
          <w:rFonts w:ascii="Times New Roman" w:hAnsi="Times New Roman" w:cs="Times New Roman"/>
          <w:color w:val="000000" w:themeColor="text1"/>
          <w:sz w:val="28"/>
          <w:szCs w:val="28"/>
          <w:shd w:val="clear" w:color="auto" w:fill="FFFFFF"/>
        </w:rPr>
        <w:t xml:space="preserve"> издержки монополий, дает предложения по изменению тарифов. </w:t>
      </w:r>
    </w:p>
    <w:p w:rsidR="00D242F2" w:rsidRPr="00AE1FCE" w:rsidRDefault="00D242F2" w:rsidP="00AE1FCE">
      <w:pPr>
        <w:spacing w:after="0" w:line="360" w:lineRule="auto"/>
        <w:ind w:firstLine="709"/>
        <w:jc w:val="both"/>
      </w:pPr>
      <w:r>
        <w:rPr>
          <w:rFonts w:ascii="Times New Roman" w:hAnsi="Times New Roman" w:cs="Times New Roman"/>
          <w:color w:val="000000" w:themeColor="text1"/>
          <w:sz w:val="28"/>
          <w:szCs w:val="28"/>
          <w:shd w:val="clear" w:color="auto" w:fill="FFFFFF"/>
        </w:rPr>
        <w:t xml:space="preserve">Обзор литературы. </w:t>
      </w:r>
      <w:r w:rsidRPr="00D242F2">
        <w:rPr>
          <w:rFonts w:ascii="Times New Roman" w:hAnsi="Times New Roman" w:cs="Times New Roman"/>
          <w:color w:val="000000" w:themeColor="text1"/>
          <w:sz w:val="28"/>
          <w:szCs w:val="28"/>
          <w:shd w:val="clear" w:color="auto" w:fill="FFFFFF"/>
        </w:rPr>
        <w:t>О степени разработанности данной проблемы можно сказать следующее: вопросом государственного влияния на топливно</w:t>
      </w:r>
      <w:r>
        <w:rPr>
          <w:rFonts w:ascii="Times New Roman" w:hAnsi="Times New Roman" w:cs="Times New Roman"/>
          <w:color w:val="000000" w:themeColor="text1"/>
          <w:sz w:val="28"/>
          <w:szCs w:val="28"/>
          <w:shd w:val="clear" w:color="auto" w:fill="FFFFFF"/>
        </w:rPr>
        <w:t>-</w:t>
      </w:r>
      <w:r w:rsidRPr="00D242F2">
        <w:rPr>
          <w:rFonts w:ascii="Times New Roman" w:hAnsi="Times New Roman" w:cs="Times New Roman"/>
          <w:color w:val="000000" w:themeColor="text1"/>
          <w:sz w:val="28"/>
          <w:szCs w:val="28"/>
          <w:shd w:val="clear" w:color="auto" w:fill="FFFFFF"/>
        </w:rPr>
        <w:t>энергетический комплекс занимались многие ученые, среди которых есть работы, напрямую совпадающие с темой исследования данной работы, следующих авторов:</w:t>
      </w:r>
      <w:r>
        <w:rPr>
          <w:rFonts w:ascii="Times New Roman" w:hAnsi="Times New Roman" w:cs="Times New Roman"/>
          <w:color w:val="000000" w:themeColor="text1"/>
          <w:sz w:val="28"/>
          <w:szCs w:val="28"/>
          <w:shd w:val="clear" w:color="auto" w:fill="FFFFFF"/>
        </w:rPr>
        <w:t xml:space="preserve"> </w:t>
      </w:r>
      <w:r w:rsidR="00AE1FCE">
        <w:rPr>
          <w:rFonts w:ascii="Times New Roman" w:hAnsi="Times New Roman" w:cs="Times New Roman"/>
          <w:color w:val="000000" w:themeColor="text1"/>
          <w:sz w:val="28"/>
          <w:szCs w:val="28"/>
        </w:rPr>
        <w:t>Некрасов А.С.</w:t>
      </w:r>
      <w:r w:rsidR="00AE1FCE" w:rsidRPr="00AE1FCE">
        <w:rPr>
          <w:rFonts w:ascii="Times New Roman" w:hAnsi="Times New Roman" w:cs="Times New Roman"/>
          <w:color w:val="000000" w:themeColor="text1"/>
          <w:sz w:val="28"/>
          <w:szCs w:val="28"/>
        </w:rPr>
        <w:t xml:space="preserve">[6], </w:t>
      </w:r>
      <w:r w:rsidR="00AE1FCE">
        <w:rPr>
          <w:rFonts w:ascii="Times New Roman" w:hAnsi="Times New Roman" w:cs="Times New Roman"/>
          <w:color w:val="000000" w:themeColor="text1"/>
          <w:sz w:val="28"/>
          <w:szCs w:val="28"/>
        </w:rPr>
        <w:t>Новикова Н.В.</w:t>
      </w:r>
      <w:r w:rsidR="00AE1FCE" w:rsidRPr="00AE1FCE">
        <w:rPr>
          <w:rFonts w:ascii="Times New Roman" w:hAnsi="Times New Roman" w:cs="Times New Roman"/>
          <w:color w:val="000000" w:themeColor="text1"/>
          <w:sz w:val="28"/>
          <w:szCs w:val="28"/>
        </w:rPr>
        <w:t xml:space="preserve">[7], </w:t>
      </w:r>
      <w:proofErr w:type="spellStart"/>
      <w:r w:rsidR="00AE1FCE">
        <w:rPr>
          <w:rFonts w:ascii="Times New Roman" w:hAnsi="Times New Roman" w:cs="Times New Roman"/>
          <w:color w:val="000000" w:themeColor="text1"/>
          <w:sz w:val="28"/>
          <w:szCs w:val="28"/>
        </w:rPr>
        <w:t>Ламакина</w:t>
      </w:r>
      <w:proofErr w:type="spellEnd"/>
      <w:r w:rsidR="00AE1FCE">
        <w:rPr>
          <w:rFonts w:ascii="Times New Roman" w:hAnsi="Times New Roman" w:cs="Times New Roman"/>
          <w:color w:val="000000" w:themeColor="text1"/>
          <w:sz w:val="28"/>
          <w:szCs w:val="28"/>
        </w:rPr>
        <w:t xml:space="preserve"> Г.Н</w:t>
      </w:r>
      <w:r w:rsidRPr="00D242F2">
        <w:rPr>
          <w:rFonts w:ascii="Times New Roman" w:hAnsi="Times New Roman" w:cs="Times New Roman"/>
          <w:color w:val="000000" w:themeColor="text1"/>
          <w:sz w:val="28"/>
          <w:szCs w:val="28"/>
          <w:shd w:val="clear" w:color="auto" w:fill="FFFFFF"/>
        </w:rPr>
        <w:t>.</w:t>
      </w:r>
      <w:r w:rsidR="00AE1FCE" w:rsidRPr="00AE1FCE">
        <w:rPr>
          <w:rFonts w:ascii="Times New Roman" w:hAnsi="Times New Roman" w:cs="Times New Roman"/>
          <w:color w:val="000000" w:themeColor="text1"/>
          <w:sz w:val="28"/>
          <w:szCs w:val="28"/>
          <w:shd w:val="clear" w:color="auto" w:fill="FFFFFF"/>
        </w:rPr>
        <w:t>[8].</w:t>
      </w:r>
      <w:r w:rsidRPr="00D242F2">
        <w:rPr>
          <w:rFonts w:ascii="Times New Roman" w:hAnsi="Times New Roman" w:cs="Times New Roman"/>
          <w:color w:val="000000" w:themeColor="text1"/>
          <w:sz w:val="28"/>
          <w:szCs w:val="28"/>
          <w:shd w:val="clear" w:color="auto" w:fill="FFFFFF"/>
        </w:rPr>
        <w:t xml:space="preserve"> Немаловажно в данном вопросе обратить внимание и на зарубежный опыт,</w:t>
      </w:r>
    </w:p>
    <w:p w:rsidR="00AE1FCE" w:rsidRPr="00AE1FCE" w:rsidRDefault="00653089" w:rsidP="00AE1FCE">
      <w:pPr>
        <w:spacing w:after="0" w:line="360" w:lineRule="auto"/>
        <w:ind w:firstLine="709"/>
        <w:jc w:val="both"/>
        <w:rPr>
          <w:rFonts w:ascii="Times New Roman" w:hAnsi="Times New Roman" w:cs="Times New Roman"/>
          <w:color w:val="000000" w:themeColor="text1"/>
          <w:sz w:val="28"/>
          <w:szCs w:val="28"/>
          <w:shd w:val="clear" w:color="auto" w:fill="FFFFFF"/>
        </w:rPr>
      </w:pPr>
      <w:r w:rsidRPr="00653089">
        <w:rPr>
          <w:rFonts w:ascii="Times New Roman" w:hAnsi="Times New Roman" w:cs="Times New Roman"/>
          <w:color w:val="000000" w:themeColor="text1"/>
          <w:sz w:val="28"/>
          <w:szCs w:val="28"/>
          <w:shd w:val="clear" w:color="auto" w:fill="FFFFFF"/>
        </w:rPr>
        <w:t xml:space="preserve">Основная задача ФЭК – налаживание положительных отношений между потребителем и производителем энергии. Такой баланс позволяет достичь двусторонней выгоды – с одной стороны, доступные цены на энергию для потребителей, с другой – развитие и нормальное функционирование производителя. Таким образом, основная функция ФЭК – </w:t>
      </w:r>
      <w:r w:rsidRPr="00653089">
        <w:rPr>
          <w:rFonts w:ascii="Times New Roman" w:hAnsi="Times New Roman" w:cs="Times New Roman"/>
          <w:color w:val="000000" w:themeColor="text1"/>
          <w:sz w:val="28"/>
          <w:szCs w:val="28"/>
          <w:shd w:val="clear" w:color="auto" w:fill="FFFFFF"/>
        </w:rPr>
        <w:lastRenderedPageBreak/>
        <w:t>это регулирование цен естественных монополий. Соответственно, региональные энергетические комиссии выполняют данную функцию на уровне регионов</w:t>
      </w:r>
      <w:r w:rsidR="00AE1FCE" w:rsidRPr="00AE1FCE">
        <w:rPr>
          <w:rFonts w:ascii="Times New Roman" w:hAnsi="Times New Roman" w:cs="Times New Roman"/>
          <w:color w:val="000000" w:themeColor="text1"/>
          <w:sz w:val="28"/>
          <w:szCs w:val="28"/>
          <w:shd w:val="clear" w:color="auto" w:fill="FFFFFF"/>
        </w:rPr>
        <w:t xml:space="preserve"> </w:t>
      </w:r>
      <w:r w:rsidR="00AE1FCE">
        <w:rPr>
          <w:rFonts w:ascii="Times New Roman" w:hAnsi="Times New Roman" w:cs="Times New Roman"/>
          <w:color w:val="000000" w:themeColor="text1"/>
          <w:sz w:val="28"/>
          <w:szCs w:val="28"/>
          <w:shd w:val="clear" w:color="auto" w:fill="FFFFFF"/>
        </w:rPr>
        <w:t>[6</w:t>
      </w:r>
      <w:r w:rsidR="00AE1FCE" w:rsidRPr="00AE1FCE">
        <w:rPr>
          <w:rFonts w:ascii="Times New Roman" w:hAnsi="Times New Roman" w:cs="Times New Roman"/>
          <w:color w:val="000000" w:themeColor="text1"/>
          <w:sz w:val="28"/>
          <w:szCs w:val="28"/>
          <w:shd w:val="clear" w:color="auto" w:fill="FFFFFF"/>
        </w:rPr>
        <w:t xml:space="preserve">, </w:t>
      </w:r>
      <w:r w:rsidR="00AE1FCE">
        <w:rPr>
          <w:rFonts w:ascii="Times New Roman" w:hAnsi="Times New Roman" w:cs="Times New Roman"/>
          <w:color w:val="000000" w:themeColor="text1"/>
          <w:sz w:val="28"/>
          <w:szCs w:val="28"/>
          <w:shd w:val="clear" w:color="auto" w:fill="FFFFFF"/>
        </w:rPr>
        <w:t>с.19</w:t>
      </w:r>
      <w:r w:rsidR="00AE1FCE" w:rsidRPr="00AE1FCE">
        <w:rPr>
          <w:rFonts w:ascii="Times New Roman" w:hAnsi="Times New Roman" w:cs="Times New Roman"/>
          <w:color w:val="000000" w:themeColor="text1"/>
          <w:sz w:val="28"/>
          <w:szCs w:val="28"/>
          <w:shd w:val="clear" w:color="auto" w:fill="FFFFFF"/>
        </w:rPr>
        <w:t>]</w:t>
      </w:r>
      <w:r w:rsidRPr="00653089">
        <w:rPr>
          <w:rFonts w:ascii="Times New Roman" w:hAnsi="Times New Roman" w:cs="Times New Roman"/>
          <w:color w:val="000000" w:themeColor="text1"/>
          <w:sz w:val="28"/>
          <w:szCs w:val="28"/>
          <w:shd w:val="clear" w:color="auto" w:fill="FFFFFF"/>
        </w:rPr>
        <w:t xml:space="preserve">. </w:t>
      </w:r>
    </w:p>
    <w:p w:rsidR="00653089" w:rsidRDefault="00653089" w:rsidP="00AE1FCE">
      <w:pPr>
        <w:spacing w:after="0" w:line="360" w:lineRule="auto"/>
        <w:ind w:firstLine="709"/>
        <w:jc w:val="both"/>
        <w:rPr>
          <w:rFonts w:ascii="Times New Roman" w:hAnsi="Times New Roman" w:cs="Times New Roman"/>
          <w:color w:val="000000" w:themeColor="text1"/>
          <w:sz w:val="28"/>
          <w:szCs w:val="28"/>
          <w:shd w:val="clear" w:color="auto" w:fill="FFFFFF"/>
        </w:rPr>
      </w:pPr>
      <w:r w:rsidRPr="00653089">
        <w:rPr>
          <w:rFonts w:ascii="Times New Roman" w:hAnsi="Times New Roman" w:cs="Times New Roman"/>
          <w:color w:val="000000" w:themeColor="text1"/>
          <w:sz w:val="28"/>
          <w:szCs w:val="28"/>
          <w:shd w:val="clear" w:color="auto" w:fill="FFFFFF"/>
        </w:rPr>
        <w:t xml:space="preserve">Ассортимент товаров энергетики, нефтяной и газовой промышленности весьма немногочислен и строго ограничен. В связи с этим свободные цены не могут выступать инструментом конкуренции. Из-за этого возникает потребность в государственном регулировании. Государство и налоговая система, работая в тандеме, регулируют цены таким образом, чтобы учитывались потребности в финансовых </w:t>
      </w:r>
      <w:proofErr w:type="gramStart"/>
      <w:r w:rsidRPr="00653089">
        <w:rPr>
          <w:rFonts w:ascii="Times New Roman" w:hAnsi="Times New Roman" w:cs="Times New Roman"/>
          <w:color w:val="000000" w:themeColor="text1"/>
          <w:sz w:val="28"/>
          <w:szCs w:val="28"/>
          <w:shd w:val="clear" w:color="auto" w:fill="FFFFFF"/>
        </w:rPr>
        <w:t>средствах</w:t>
      </w:r>
      <w:proofErr w:type="gramEnd"/>
      <w:r w:rsidRPr="00653089">
        <w:rPr>
          <w:rFonts w:ascii="Times New Roman" w:hAnsi="Times New Roman" w:cs="Times New Roman"/>
          <w:color w:val="000000" w:themeColor="text1"/>
          <w:sz w:val="28"/>
          <w:szCs w:val="28"/>
          <w:shd w:val="clear" w:color="auto" w:fill="FFFFFF"/>
        </w:rPr>
        <w:t xml:space="preserve"> как потребителей энергоресурсов, так и производителей, конечно, с учетом возможностей. На сегодняшний день топливно-энергетический комплекс особенно нуждается в финансовом и ценовом контроле со стороны государства</w:t>
      </w:r>
      <w:r w:rsidR="00AE1FCE" w:rsidRPr="00AE1FCE">
        <w:rPr>
          <w:rFonts w:ascii="Times New Roman" w:hAnsi="Times New Roman" w:cs="Times New Roman"/>
          <w:color w:val="000000" w:themeColor="text1"/>
          <w:sz w:val="28"/>
          <w:szCs w:val="28"/>
          <w:shd w:val="clear" w:color="auto" w:fill="FFFFFF"/>
        </w:rPr>
        <w:t xml:space="preserve"> [7, </w:t>
      </w:r>
      <w:r w:rsidR="00AE1FCE">
        <w:rPr>
          <w:rFonts w:ascii="Times New Roman" w:hAnsi="Times New Roman" w:cs="Times New Roman"/>
          <w:color w:val="000000" w:themeColor="text1"/>
          <w:sz w:val="28"/>
          <w:szCs w:val="28"/>
          <w:shd w:val="clear" w:color="auto" w:fill="FFFFFF"/>
        </w:rPr>
        <w:t>с.14</w:t>
      </w:r>
      <w:r w:rsidR="00AE1FCE" w:rsidRPr="00AE1FCE">
        <w:rPr>
          <w:rFonts w:ascii="Times New Roman" w:hAnsi="Times New Roman" w:cs="Times New Roman"/>
          <w:color w:val="000000" w:themeColor="text1"/>
          <w:sz w:val="28"/>
          <w:szCs w:val="28"/>
          <w:shd w:val="clear" w:color="auto" w:fill="FFFFFF"/>
        </w:rPr>
        <w:t>]</w:t>
      </w:r>
      <w:r w:rsidRPr="00653089">
        <w:rPr>
          <w:rFonts w:ascii="Times New Roman" w:hAnsi="Times New Roman" w:cs="Times New Roman"/>
          <w:color w:val="000000" w:themeColor="text1"/>
          <w:sz w:val="28"/>
          <w:szCs w:val="28"/>
          <w:shd w:val="clear" w:color="auto" w:fill="FFFFFF"/>
        </w:rPr>
        <w:t xml:space="preserve">. </w:t>
      </w:r>
    </w:p>
    <w:p w:rsidR="000D62BB" w:rsidRPr="000D62BB" w:rsidRDefault="000D62BB" w:rsidP="00653089">
      <w:pPr>
        <w:spacing w:after="0" w:line="360" w:lineRule="auto"/>
        <w:ind w:firstLine="709"/>
        <w:jc w:val="both"/>
        <w:rPr>
          <w:rFonts w:ascii="Times New Roman" w:hAnsi="Times New Roman" w:cs="Times New Roman"/>
          <w:color w:val="000000" w:themeColor="text1"/>
          <w:sz w:val="28"/>
          <w:szCs w:val="28"/>
          <w:shd w:val="clear" w:color="auto" w:fill="FFFFFF"/>
        </w:rPr>
      </w:pPr>
      <w:r w:rsidRPr="000D62BB">
        <w:rPr>
          <w:rFonts w:ascii="Times New Roman" w:hAnsi="Times New Roman" w:cs="Times New Roman"/>
          <w:color w:val="000000" w:themeColor="text1"/>
          <w:sz w:val="28"/>
          <w:szCs w:val="28"/>
          <w:shd w:val="clear" w:color="auto" w:fill="FFFFFF"/>
        </w:rPr>
        <w:t xml:space="preserve">Таблица </w:t>
      </w:r>
      <w:r>
        <w:rPr>
          <w:rFonts w:ascii="Times New Roman" w:hAnsi="Times New Roman" w:cs="Times New Roman"/>
          <w:color w:val="000000" w:themeColor="text1"/>
          <w:sz w:val="28"/>
          <w:szCs w:val="28"/>
          <w:shd w:val="clear" w:color="auto" w:fill="FFFFFF"/>
        </w:rPr>
        <w:t xml:space="preserve">1 </w:t>
      </w:r>
      <w:r w:rsidRPr="000D62BB">
        <w:rPr>
          <w:rFonts w:ascii="Times New Roman" w:hAnsi="Times New Roman" w:cs="Times New Roman"/>
          <w:color w:val="000000" w:themeColor="text1"/>
          <w:sz w:val="28"/>
          <w:szCs w:val="28"/>
          <w:shd w:val="clear" w:color="auto" w:fill="FFFFFF"/>
        </w:rPr>
        <w:t xml:space="preserve">- </w:t>
      </w:r>
      <w:r w:rsidRPr="000D62BB">
        <w:rPr>
          <w:rFonts w:ascii="Times New Roman" w:hAnsi="Times New Roman" w:cs="Times New Roman"/>
          <w:sz w:val="28"/>
          <w:szCs w:val="28"/>
        </w:rPr>
        <w:t>Протяженность участков магистральных теплопроводов по способам прокладки</w:t>
      </w:r>
    </w:p>
    <w:p w:rsidR="000D62BB" w:rsidRPr="00653089" w:rsidRDefault="00CF58E4" w:rsidP="00653089">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4pt;height:204.6pt">
            <v:imagedata r:id="rId8" o:title="Безымянный"/>
          </v:shape>
        </w:pict>
      </w:r>
    </w:p>
    <w:p w:rsidR="00653089" w:rsidRPr="00653089" w:rsidRDefault="00653089" w:rsidP="00653089">
      <w:pPr>
        <w:spacing w:after="0" w:line="360" w:lineRule="auto"/>
        <w:ind w:firstLine="709"/>
        <w:jc w:val="both"/>
        <w:rPr>
          <w:rFonts w:ascii="Times New Roman" w:hAnsi="Times New Roman" w:cs="Times New Roman"/>
          <w:color w:val="000000" w:themeColor="text1"/>
          <w:sz w:val="28"/>
          <w:szCs w:val="28"/>
          <w:shd w:val="clear" w:color="auto" w:fill="FFFFFF"/>
        </w:rPr>
      </w:pPr>
      <w:r w:rsidRPr="00653089">
        <w:rPr>
          <w:rFonts w:ascii="Times New Roman" w:hAnsi="Times New Roman" w:cs="Times New Roman"/>
          <w:color w:val="000000" w:themeColor="text1"/>
          <w:sz w:val="28"/>
          <w:szCs w:val="28"/>
          <w:shd w:val="clear" w:color="auto" w:fill="FFFFFF"/>
        </w:rPr>
        <w:t xml:space="preserve">Важность вмешательства обусловлена тем, что внутренние цены на энергоносители, а также финансовые потоки, которые проходят через компании ТЭК, должны регулироваться и контролироваться государством для сохранения баланса и выгоды всем сторонам производства и потребления. Одной из важнейших причин, </w:t>
      </w:r>
      <w:proofErr w:type="gramStart"/>
      <w:r w:rsidRPr="00653089">
        <w:rPr>
          <w:rFonts w:ascii="Times New Roman" w:hAnsi="Times New Roman" w:cs="Times New Roman"/>
          <w:color w:val="000000" w:themeColor="text1"/>
          <w:sz w:val="28"/>
          <w:szCs w:val="28"/>
          <w:shd w:val="clear" w:color="auto" w:fill="FFFFFF"/>
        </w:rPr>
        <w:t>по</w:t>
      </w:r>
      <w:proofErr w:type="gramEnd"/>
      <w:r w:rsidRPr="00653089">
        <w:rPr>
          <w:rFonts w:ascii="Times New Roman" w:hAnsi="Times New Roman" w:cs="Times New Roman"/>
          <w:color w:val="000000" w:themeColor="text1"/>
          <w:sz w:val="28"/>
          <w:szCs w:val="28"/>
          <w:shd w:val="clear" w:color="auto" w:fill="FFFFFF"/>
        </w:rPr>
        <w:t xml:space="preserve"> </w:t>
      </w:r>
      <w:proofErr w:type="gramStart"/>
      <w:r w:rsidRPr="00653089">
        <w:rPr>
          <w:rFonts w:ascii="Times New Roman" w:hAnsi="Times New Roman" w:cs="Times New Roman"/>
          <w:color w:val="000000" w:themeColor="text1"/>
          <w:sz w:val="28"/>
          <w:szCs w:val="28"/>
          <w:shd w:val="clear" w:color="auto" w:fill="FFFFFF"/>
        </w:rPr>
        <w:t>которой</w:t>
      </w:r>
      <w:proofErr w:type="gramEnd"/>
      <w:r w:rsidRPr="00653089">
        <w:rPr>
          <w:rFonts w:ascii="Times New Roman" w:hAnsi="Times New Roman" w:cs="Times New Roman"/>
          <w:color w:val="000000" w:themeColor="text1"/>
          <w:sz w:val="28"/>
          <w:szCs w:val="28"/>
          <w:shd w:val="clear" w:color="auto" w:fill="FFFFFF"/>
        </w:rPr>
        <w:t xml:space="preserve"> вмешательство государство в ценовую политику ТЭК необходимо, является защищенность от резких колебаний мировых цен и курса рубля. Но ни в коем случае это не </w:t>
      </w:r>
      <w:r w:rsidRPr="00653089">
        <w:rPr>
          <w:rFonts w:ascii="Times New Roman" w:hAnsi="Times New Roman" w:cs="Times New Roman"/>
          <w:color w:val="000000" w:themeColor="text1"/>
          <w:sz w:val="28"/>
          <w:szCs w:val="28"/>
          <w:shd w:val="clear" w:color="auto" w:fill="FFFFFF"/>
        </w:rPr>
        <w:lastRenderedPageBreak/>
        <w:t>обозначает полную их автономность. В данном контексте, мировые цены должны стать стимулятором для адаптации отечественных производителей и потребителей. Чрезмерные колебания ценовой политики в мире могут привезти к отрицательному результату и отразиться на производственном потенциале, что создаст высокие барьеры для развития инвестиционной деятельности в данном направлении в виде высоких рисков. Стремиться нужно к уровню развитых стран, где зависимость между мировыми и внутренними ценами прямая: они совместно растут и совместно понижаются. Однако само изменение внутренних цен значительно меньше именно из-за государственного регулирования. Учитывая то, что Россия использует большую часть энергоресурсов внутри государства, данный вопрос наиболее актуален. Так, соотношение и уровень цен не энергоносители обязательно должны зависеть от затрат на их производство, включая транспортировку и потребности в капитальных вложениях. Мировые тенденции показывают, что весомым стимулом, способствующим структурным изменениям в экономике, является повышение цен на топливо и сырье</w:t>
      </w:r>
      <w:r w:rsidR="00AE1FCE" w:rsidRPr="00AE1FCE">
        <w:rPr>
          <w:rFonts w:ascii="Times New Roman" w:hAnsi="Times New Roman" w:cs="Times New Roman"/>
          <w:color w:val="000000" w:themeColor="text1"/>
          <w:sz w:val="28"/>
          <w:szCs w:val="28"/>
          <w:shd w:val="clear" w:color="auto" w:fill="FFFFFF"/>
        </w:rPr>
        <w:t xml:space="preserve"> </w:t>
      </w:r>
      <w:bookmarkStart w:id="0" w:name="_GoBack"/>
      <w:bookmarkEnd w:id="0"/>
      <w:r w:rsidR="00AE1FCE">
        <w:rPr>
          <w:rFonts w:ascii="Times New Roman" w:hAnsi="Times New Roman" w:cs="Times New Roman"/>
          <w:color w:val="000000" w:themeColor="text1"/>
          <w:sz w:val="28"/>
          <w:szCs w:val="28"/>
          <w:shd w:val="clear" w:color="auto" w:fill="FFFFFF"/>
        </w:rPr>
        <w:t>[8</w:t>
      </w:r>
      <w:r w:rsidR="00AE1FCE" w:rsidRPr="00AE1FCE">
        <w:rPr>
          <w:rFonts w:ascii="Times New Roman" w:hAnsi="Times New Roman" w:cs="Times New Roman"/>
          <w:color w:val="000000" w:themeColor="text1"/>
          <w:sz w:val="28"/>
          <w:szCs w:val="28"/>
          <w:shd w:val="clear" w:color="auto" w:fill="FFFFFF"/>
        </w:rPr>
        <w:t xml:space="preserve">, </w:t>
      </w:r>
      <w:r w:rsidR="00AE1FCE">
        <w:rPr>
          <w:rFonts w:ascii="Times New Roman" w:hAnsi="Times New Roman" w:cs="Times New Roman"/>
          <w:color w:val="000000" w:themeColor="text1"/>
          <w:sz w:val="28"/>
          <w:szCs w:val="28"/>
          <w:shd w:val="clear" w:color="auto" w:fill="FFFFFF"/>
        </w:rPr>
        <w:t>с.22</w:t>
      </w:r>
      <w:r w:rsidR="00AE1FCE" w:rsidRPr="00AE1FCE">
        <w:rPr>
          <w:rFonts w:ascii="Times New Roman" w:hAnsi="Times New Roman" w:cs="Times New Roman"/>
          <w:color w:val="000000" w:themeColor="text1"/>
          <w:sz w:val="28"/>
          <w:szCs w:val="28"/>
          <w:shd w:val="clear" w:color="auto" w:fill="FFFFFF"/>
        </w:rPr>
        <w:t>]</w:t>
      </w:r>
      <w:r w:rsidRPr="00653089">
        <w:rPr>
          <w:rFonts w:ascii="Times New Roman" w:hAnsi="Times New Roman" w:cs="Times New Roman"/>
          <w:color w:val="000000" w:themeColor="text1"/>
          <w:sz w:val="28"/>
          <w:szCs w:val="28"/>
          <w:shd w:val="clear" w:color="auto" w:fill="FFFFFF"/>
        </w:rPr>
        <w:t xml:space="preserve">. </w:t>
      </w:r>
    </w:p>
    <w:p w:rsidR="004A6CAE" w:rsidRPr="00653089" w:rsidRDefault="00653089" w:rsidP="00653089">
      <w:pPr>
        <w:spacing w:after="0" w:line="360" w:lineRule="auto"/>
        <w:ind w:firstLine="709"/>
        <w:jc w:val="both"/>
        <w:rPr>
          <w:rFonts w:ascii="Times New Roman" w:hAnsi="Times New Roman" w:cs="Times New Roman"/>
          <w:color w:val="000000" w:themeColor="text1"/>
          <w:sz w:val="28"/>
          <w:szCs w:val="28"/>
          <w:shd w:val="clear" w:color="auto" w:fill="FFFFFF"/>
        </w:rPr>
      </w:pPr>
      <w:r w:rsidRPr="00653089">
        <w:rPr>
          <w:rFonts w:ascii="Times New Roman" w:hAnsi="Times New Roman" w:cs="Times New Roman"/>
          <w:color w:val="000000" w:themeColor="text1"/>
          <w:sz w:val="28"/>
          <w:szCs w:val="28"/>
          <w:shd w:val="clear" w:color="auto" w:fill="FFFFFF"/>
        </w:rPr>
        <w:t xml:space="preserve">Именно поэтому ТЭК постоянно нуждается в новых технологиях, которые приводят к максимизации полезности при минимизации затрат ресурсов. Из-за технологий меняется структура производства, развиваются энергосберегающие производства, поэтому снижается потребление энергоносителей и сырья, что, в свою очередь, приводит к тенденции на снижение мировых цен на товары. Для того чтобы регулировать тарифы во всех отраслях ТЭК нужен определенный единый тарифный орган. Определение стоимости жесткой экономической зависимости между составляющими (газ, топливо, энергетика, железная дорога) требует серьезной координации со стороны государства. В интересах государства взять на себя ответственность за регулирование тарифов ТЭК. Интерес обусловлен простым фактом – доля государства в ТЭК весома. Так, доля государства в отраслях ТЭК в 2017 году составила более 80%. Естественно, самую важную роль со стороны государства выполняет Министерство </w:t>
      </w:r>
      <w:r w:rsidRPr="00653089">
        <w:rPr>
          <w:rFonts w:ascii="Times New Roman" w:hAnsi="Times New Roman" w:cs="Times New Roman"/>
          <w:color w:val="000000" w:themeColor="text1"/>
          <w:sz w:val="28"/>
          <w:szCs w:val="28"/>
          <w:shd w:val="clear" w:color="auto" w:fill="FFFFFF"/>
        </w:rPr>
        <w:lastRenderedPageBreak/>
        <w:t>энергетики Российской Федерации. Данный федеральный орган проводит государственную политику в топливно-энергетической сфере и регулирует деятельность иных министерств и ведомств в данной области.</w:t>
      </w:r>
    </w:p>
    <w:p w:rsidR="002A4749" w:rsidRPr="00653089" w:rsidRDefault="002A4749" w:rsidP="00653089">
      <w:pPr>
        <w:spacing w:after="0" w:line="360" w:lineRule="auto"/>
        <w:ind w:firstLine="709"/>
        <w:jc w:val="both"/>
        <w:rPr>
          <w:rFonts w:ascii="Times New Roman" w:hAnsi="Times New Roman" w:cs="Times New Roman"/>
          <w:color w:val="000000" w:themeColor="text1"/>
          <w:sz w:val="28"/>
          <w:szCs w:val="28"/>
          <w:shd w:val="clear" w:color="auto" w:fill="FFFFFF"/>
        </w:rPr>
      </w:pPr>
    </w:p>
    <w:p w:rsidR="002A4749" w:rsidRPr="00653089" w:rsidRDefault="002A4749" w:rsidP="00653089">
      <w:pPr>
        <w:pStyle w:val="1"/>
        <w:spacing w:before="0" w:line="360" w:lineRule="auto"/>
        <w:ind w:firstLine="709"/>
        <w:jc w:val="both"/>
        <w:rPr>
          <w:rFonts w:ascii="Times New Roman" w:hAnsi="Times New Roman" w:cs="Times New Roman"/>
          <w:color w:val="000000" w:themeColor="text1"/>
          <w:shd w:val="clear" w:color="auto" w:fill="FFFFFF"/>
        </w:rPr>
      </w:pPr>
      <w:r w:rsidRPr="00653089">
        <w:rPr>
          <w:rFonts w:ascii="Times New Roman" w:hAnsi="Times New Roman" w:cs="Times New Roman"/>
          <w:color w:val="000000" w:themeColor="text1"/>
          <w:shd w:val="clear" w:color="auto" w:fill="FFFFFF"/>
        </w:rPr>
        <w:t>Список использованных источников</w:t>
      </w:r>
    </w:p>
    <w:p w:rsidR="002A4749" w:rsidRPr="00653089" w:rsidRDefault="002A4749" w:rsidP="00653089">
      <w:pPr>
        <w:spacing w:after="0" w:line="360" w:lineRule="auto"/>
        <w:ind w:firstLine="709"/>
        <w:jc w:val="both"/>
        <w:rPr>
          <w:rFonts w:ascii="Times New Roman" w:hAnsi="Times New Roman" w:cs="Times New Roman"/>
          <w:color w:val="000000" w:themeColor="text1"/>
          <w:sz w:val="28"/>
          <w:szCs w:val="28"/>
        </w:rPr>
      </w:pPr>
    </w:p>
    <w:p w:rsidR="002A4749" w:rsidRPr="00653089" w:rsidRDefault="002A4749" w:rsidP="00653089">
      <w:pPr>
        <w:pStyle w:val="a3"/>
        <w:numPr>
          <w:ilvl w:val="0"/>
          <w:numId w:val="1"/>
        </w:numPr>
        <w:spacing w:after="0" w:line="360" w:lineRule="auto"/>
        <w:ind w:left="0" w:firstLine="709"/>
        <w:jc w:val="both"/>
        <w:rPr>
          <w:rFonts w:ascii="Times New Roman" w:hAnsi="Times New Roman" w:cs="Times New Roman"/>
          <w:color w:val="000000" w:themeColor="text1"/>
          <w:sz w:val="28"/>
          <w:szCs w:val="28"/>
        </w:rPr>
      </w:pPr>
      <w:r w:rsidRPr="00653089">
        <w:rPr>
          <w:rFonts w:ascii="Times New Roman" w:hAnsi="Times New Roman" w:cs="Times New Roman"/>
          <w:color w:val="000000" w:themeColor="text1"/>
          <w:sz w:val="28"/>
          <w:szCs w:val="28"/>
        </w:rPr>
        <w:t xml:space="preserve">Федеральный закон от 31.03.1999 № 69-ФЗ «О газоснабжении в Российской Федерации» [Электронный ресурс]. / URL: </w:t>
      </w:r>
      <w:hyperlink r:id="rId9" w:history="1">
        <w:r w:rsidRPr="00653089">
          <w:rPr>
            <w:rStyle w:val="a5"/>
            <w:rFonts w:ascii="Times New Roman" w:hAnsi="Times New Roman" w:cs="Times New Roman"/>
            <w:color w:val="000000" w:themeColor="text1"/>
            <w:sz w:val="28"/>
            <w:szCs w:val="28"/>
            <w:u w:val="none"/>
          </w:rPr>
          <w:t>https://base.garant.ru/180285/</w:t>
        </w:r>
      </w:hyperlink>
      <w:r w:rsidRPr="00653089">
        <w:rPr>
          <w:rFonts w:ascii="Times New Roman" w:hAnsi="Times New Roman" w:cs="Times New Roman"/>
          <w:color w:val="000000" w:themeColor="text1"/>
          <w:sz w:val="28"/>
          <w:szCs w:val="28"/>
        </w:rPr>
        <w:t xml:space="preserve"> (дата обращения: 15.05.2020).</w:t>
      </w:r>
    </w:p>
    <w:p w:rsidR="002A4749" w:rsidRPr="00653089" w:rsidRDefault="002A4749" w:rsidP="00653089">
      <w:pPr>
        <w:pStyle w:val="a3"/>
        <w:numPr>
          <w:ilvl w:val="0"/>
          <w:numId w:val="1"/>
        </w:numPr>
        <w:spacing w:after="0" w:line="360" w:lineRule="auto"/>
        <w:ind w:left="0" w:firstLine="709"/>
        <w:jc w:val="both"/>
        <w:rPr>
          <w:rFonts w:ascii="Times New Roman" w:hAnsi="Times New Roman" w:cs="Times New Roman"/>
          <w:color w:val="000000" w:themeColor="text1"/>
          <w:sz w:val="28"/>
          <w:szCs w:val="28"/>
        </w:rPr>
      </w:pPr>
      <w:r w:rsidRPr="00653089">
        <w:rPr>
          <w:rFonts w:ascii="Times New Roman" w:hAnsi="Times New Roman" w:cs="Times New Roman"/>
          <w:color w:val="000000" w:themeColor="text1"/>
          <w:sz w:val="28"/>
          <w:szCs w:val="28"/>
        </w:rPr>
        <w:t>Федеральный закон от  26 марта 2003 г. № 35-ФЗ «Об электроэнергетике» [Электронный ресурс]. / URL:</w:t>
      </w:r>
      <w:hyperlink r:id="rId10" w:history="1">
        <w:r w:rsidRPr="00653089">
          <w:rPr>
            <w:rStyle w:val="a5"/>
            <w:rFonts w:ascii="Times New Roman" w:hAnsi="Times New Roman" w:cs="Times New Roman"/>
            <w:color w:val="000000" w:themeColor="text1"/>
            <w:sz w:val="28"/>
            <w:szCs w:val="28"/>
            <w:u w:val="none"/>
          </w:rPr>
          <w:t>http://www.consultant.ru/document/cons_doc_LAW_41502/</w:t>
        </w:r>
      </w:hyperlink>
      <w:r w:rsidRPr="00653089">
        <w:rPr>
          <w:rFonts w:ascii="Times New Roman" w:hAnsi="Times New Roman" w:cs="Times New Roman"/>
          <w:color w:val="000000" w:themeColor="text1"/>
          <w:sz w:val="28"/>
          <w:szCs w:val="28"/>
        </w:rPr>
        <w:t xml:space="preserve"> (дата обращения: 15.05.2020).</w:t>
      </w:r>
    </w:p>
    <w:p w:rsidR="002A4749" w:rsidRPr="00653089" w:rsidRDefault="002A4749" w:rsidP="00653089">
      <w:pPr>
        <w:pStyle w:val="a3"/>
        <w:numPr>
          <w:ilvl w:val="0"/>
          <w:numId w:val="1"/>
        </w:numPr>
        <w:spacing w:after="0" w:line="360" w:lineRule="auto"/>
        <w:ind w:left="0" w:firstLine="709"/>
        <w:jc w:val="both"/>
        <w:rPr>
          <w:rFonts w:ascii="Times New Roman" w:hAnsi="Times New Roman" w:cs="Times New Roman"/>
          <w:color w:val="000000" w:themeColor="text1"/>
          <w:sz w:val="28"/>
          <w:szCs w:val="28"/>
        </w:rPr>
      </w:pPr>
      <w:r w:rsidRPr="00653089">
        <w:rPr>
          <w:rFonts w:ascii="Times New Roman" w:hAnsi="Times New Roman" w:cs="Times New Roman"/>
          <w:color w:val="000000" w:themeColor="text1"/>
          <w:sz w:val="28"/>
          <w:szCs w:val="28"/>
        </w:rPr>
        <w:t xml:space="preserve">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[Электронный ресурс]. / URL: </w:t>
      </w:r>
      <w:hyperlink r:id="rId11" w:history="1">
        <w:r w:rsidRPr="00653089">
          <w:rPr>
            <w:rStyle w:val="a5"/>
            <w:rFonts w:ascii="Times New Roman" w:hAnsi="Times New Roman" w:cs="Times New Roman"/>
            <w:color w:val="000000" w:themeColor="text1"/>
            <w:sz w:val="28"/>
            <w:szCs w:val="28"/>
            <w:u w:val="none"/>
          </w:rPr>
          <w:t>http://www.consultant.ru/document/cons_doc_LAW_93978/</w:t>
        </w:r>
      </w:hyperlink>
      <w:r w:rsidRPr="00653089">
        <w:rPr>
          <w:rFonts w:ascii="Times New Roman" w:hAnsi="Times New Roman" w:cs="Times New Roman"/>
          <w:color w:val="000000" w:themeColor="text1"/>
          <w:sz w:val="28"/>
          <w:szCs w:val="28"/>
        </w:rPr>
        <w:t xml:space="preserve"> (дата обращения: 15.05.2020).</w:t>
      </w:r>
    </w:p>
    <w:p w:rsidR="002A4749" w:rsidRPr="00CF58E4" w:rsidRDefault="002A4749" w:rsidP="00653089">
      <w:pPr>
        <w:pStyle w:val="a3"/>
        <w:numPr>
          <w:ilvl w:val="0"/>
          <w:numId w:val="1"/>
        </w:numPr>
        <w:spacing w:after="0" w:line="360" w:lineRule="auto"/>
        <w:ind w:left="0" w:firstLine="709"/>
        <w:jc w:val="both"/>
        <w:rPr>
          <w:rFonts w:ascii="Times New Roman" w:hAnsi="Times New Roman" w:cs="Times New Roman"/>
          <w:color w:val="000000" w:themeColor="text1"/>
          <w:sz w:val="28"/>
          <w:szCs w:val="28"/>
        </w:rPr>
      </w:pPr>
      <w:r w:rsidRPr="00653089">
        <w:rPr>
          <w:rFonts w:ascii="Times New Roman" w:hAnsi="Times New Roman" w:cs="Times New Roman"/>
          <w:color w:val="000000" w:themeColor="text1"/>
          <w:sz w:val="28"/>
          <w:szCs w:val="28"/>
        </w:rPr>
        <w:t>Федеральный закон от 27.07.2010 № 190-ФЗ «О теплоснабжении» (с изменениями и дополнениями, вступившими в силу с 1 января 2013 г.) [Электронный ресурс]. / URL:</w:t>
      </w:r>
      <w:hyperlink r:id="rId12" w:history="1">
        <w:r w:rsidRPr="00653089">
          <w:rPr>
            <w:rStyle w:val="a5"/>
            <w:rFonts w:ascii="Times New Roman" w:hAnsi="Times New Roman" w:cs="Times New Roman"/>
            <w:color w:val="000000" w:themeColor="text1"/>
            <w:sz w:val="28"/>
            <w:szCs w:val="28"/>
            <w:u w:val="none"/>
          </w:rPr>
          <w:t>http://www.consultant.ru/document/cons_doc_LAW_102975/</w:t>
        </w:r>
      </w:hyperlink>
      <w:r w:rsidRPr="00653089">
        <w:rPr>
          <w:rFonts w:ascii="Times New Roman" w:hAnsi="Times New Roman" w:cs="Times New Roman"/>
          <w:color w:val="000000" w:themeColor="text1"/>
          <w:sz w:val="28"/>
          <w:szCs w:val="28"/>
        </w:rPr>
        <w:t xml:space="preserve"> (дата обращения: 15.05.2020).</w:t>
      </w:r>
    </w:p>
    <w:p w:rsidR="00CF58E4" w:rsidRPr="00653089" w:rsidRDefault="00CF58E4" w:rsidP="00653089">
      <w:pPr>
        <w:pStyle w:val="a3"/>
        <w:numPr>
          <w:ilvl w:val="0"/>
          <w:numId w:val="1"/>
        </w:numPr>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Федеральный закон</w:t>
      </w:r>
      <w:r w:rsidRPr="00A91E71">
        <w:rPr>
          <w:rFonts w:ascii="Times New Roman" w:hAnsi="Times New Roman" w:cs="Times New Roman"/>
          <w:color w:val="000000" w:themeColor="text1"/>
          <w:sz w:val="28"/>
          <w:szCs w:val="28"/>
          <w:shd w:val="clear" w:color="auto" w:fill="FFFFFF"/>
        </w:rPr>
        <w:t xml:space="preserve"> от 28 июня 2014 г. № 172-ФЗ «О стратегическом плани</w:t>
      </w:r>
      <w:r>
        <w:rPr>
          <w:rFonts w:ascii="Times New Roman" w:hAnsi="Times New Roman" w:cs="Times New Roman"/>
          <w:color w:val="000000" w:themeColor="text1"/>
          <w:sz w:val="28"/>
          <w:szCs w:val="28"/>
          <w:shd w:val="clear" w:color="auto" w:fill="FFFFFF"/>
        </w:rPr>
        <w:t>ровании в Российской Федерации»</w:t>
      </w:r>
      <w:r w:rsidRPr="00CF58E4">
        <w:rPr>
          <w:rFonts w:ascii="Times New Roman" w:hAnsi="Times New Roman" w:cs="Times New Roman"/>
          <w:color w:val="000000" w:themeColor="text1"/>
          <w:sz w:val="28"/>
          <w:szCs w:val="28"/>
        </w:rPr>
        <w:t xml:space="preserve"> </w:t>
      </w:r>
      <w:r w:rsidRPr="00653089">
        <w:rPr>
          <w:rFonts w:ascii="Times New Roman" w:hAnsi="Times New Roman" w:cs="Times New Roman"/>
          <w:color w:val="000000" w:themeColor="text1"/>
          <w:sz w:val="28"/>
          <w:szCs w:val="28"/>
        </w:rPr>
        <w:t>[Электронный ресурс]. / URL:</w:t>
      </w:r>
      <w:hyperlink r:id="rId13" w:history="1">
        <w:r w:rsidRPr="00653089">
          <w:rPr>
            <w:rStyle w:val="a5"/>
            <w:rFonts w:ascii="Times New Roman" w:hAnsi="Times New Roman" w:cs="Times New Roman"/>
            <w:color w:val="000000" w:themeColor="text1"/>
            <w:sz w:val="28"/>
            <w:szCs w:val="28"/>
            <w:u w:val="none"/>
          </w:rPr>
          <w:t>http://www.consultant.ru/document/cons_doc_LAW_102975/</w:t>
        </w:r>
      </w:hyperlink>
      <w:r w:rsidRPr="00653089">
        <w:rPr>
          <w:rFonts w:ascii="Times New Roman" w:hAnsi="Times New Roman" w:cs="Times New Roman"/>
          <w:color w:val="000000" w:themeColor="text1"/>
          <w:sz w:val="28"/>
          <w:szCs w:val="28"/>
        </w:rPr>
        <w:t xml:space="preserve"> (дата обращения: 15.05.2020).</w:t>
      </w:r>
    </w:p>
    <w:p w:rsidR="004A6CAE" w:rsidRPr="00653089" w:rsidRDefault="004A6CAE" w:rsidP="00653089">
      <w:pPr>
        <w:numPr>
          <w:ilvl w:val="0"/>
          <w:numId w:val="1"/>
        </w:numPr>
        <w:spacing w:after="0" w:line="360" w:lineRule="auto"/>
        <w:ind w:left="0" w:firstLine="709"/>
        <w:contextualSpacing/>
        <w:jc w:val="both"/>
        <w:rPr>
          <w:rFonts w:ascii="Times New Roman" w:hAnsi="Times New Roman" w:cs="Times New Roman"/>
          <w:color w:val="000000" w:themeColor="text1"/>
          <w:sz w:val="28"/>
          <w:szCs w:val="28"/>
        </w:rPr>
      </w:pPr>
      <w:r w:rsidRPr="00653089">
        <w:rPr>
          <w:rFonts w:ascii="Times New Roman" w:hAnsi="Times New Roman" w:cs="Times New Roman"/>
          <w:color w:val="000000" w:themeColor="text1"/>
          <w:sz w:val="28"/>
          <w:szCs w:val="28"/>
        </w:rPr>
        <w:t xml:space="preserve">Некрасов А.С. Прогнозные оценки развития топливно-энергетического комплекса России до 2030 года (Сценарный подход) / </w:t>
      </w:r>
      <w:proofErr w:type="spellStart"/>
      <w:r w:rsidRPr="00653089">
        <w:rPr>
          <w:rFonts w:ascii="Times New Roman" w:hAnsi="Times New Roman" w:cs="Times New Roman"/>
          <w:color w:val="000000" w:themeColor="text1"/>
          <w:sz w:val="28"/>
          <w:szCs w:val="28"/>
        </w:rPr>
        <w:t>А.С.Некрасов</w:t>
      </w:r>
      <w:proofErr w:type="spellEnd"/>
      <w:r w:rsidRPr="00653089">
        <w:rPr>
          <w:rFonts w:ascii="Times New Roman" w:hAnsi="Times New Roman" w:cs="Times New Roman"/>
          <w:color w:val="000000" w:themeColor="text1"/>
          <w:sz w:val="28"/>
          <w:szCs w:val="28"/>
        </w:rPr>
        <w:t>. – М.: ИНП РАН, 2017. – 167 с.</w:t>
      </w:r>
    </w:p>
    <w:p w:rsidR="004A6CAE" w:rsidRPr="00653089" w:rsidRDefault="004A6CAE" w:rsidP="00653089">
      <w:pPr>
        <w:numPr>
          <w:ilvl w:val="0"/>
          <w:numId w:val="1"/>
        </w:numPr>
        <w:spacing w:after="0" w:line="360" w:lineRule="auto"/>
        <w:ind w:left="0" w:firstLine="709"/>
        <w:contextualSpacing/>
        <w:jc w:val="both"/>
        <w:rPr>
          <w:rFonts w:ascii="Times New Roman" w:hAnsi="Times New Roman" w:cs="Times New Roman"/>
          <w:color w:val="000000" w:themeColor="text1"/>
          <w:sz w:val="28"/>
          <w:szCs w:val="28"/>
        </w:rPr>
      </w:pPr>
      <w:r w:rsidRPr="00653089">
        <w:rPr>
          <w:rFonts w:ascii="Times New Roman" w:hAnsi="Times New Roman" w:cs="Times New Roman"/>
          <w:color w:val="000000" w:themeColor="text1"/>
          <w:sz w:val="28"/>
          <w:szCs w:val="28"/>
        </w:rPr>
        <w:lastRenderedPageBreak/>
        <w:t xml:space="preserve">Новикова Н.В. Прогнозирование национальной экономики / Н.В. Новикова, О.Г. Позднеева. - Екатеринбург: Изд-во Урал, гос. </w:t>
      </w:r>
      <w:proofErr w:type="spellStart"/>
      <w:r w:rsidRPr="00653089">
        <w:rPr>
          <w:rFonts w:ascii="Times New Roman" w:hAnsi="Times New Roman" w:cs="Times New Roman"/>
          <w:color w:val="000000" w:themeColor="text1"/>
          <w:sz w:val="28"/>
          <w:szCs w:val="28"/>
        </w:rPr>
        <w:t>экон</w:t>
      </w:r>
      <w:proofErr w:type="spellEnd"/>
      <w:r w:rsidRPr="00653089">
        <w:rPr>
          <w:rFonts w:ascii="Times New Roman" w:hAnsi="Times New Roman" w:cs="Times New Roman"/>
          <w:color w:val="000000" w:themeColor="text1"/>
          <w:sz w:val="28"/>
          <w:szCs w:val="28"/>
        </w:rPr>
        <w:t>. ун-та, 2017. - с. 138.</w:t>
      </w:r>
    </w:p>
    <w:p w:rsidR="002A4749" w:rsidRPr="00CF58E4" w:rsidRDefault="004A6CAE" w:rsidP="00CF58E4">
      <w:pPr>
        <w:numPr>
          <w:ilvl w:val="0"/>
          <w:numId w:val="1"/>
        </w:numPr>
        <w:spacing w:after="0" w:line="360" w:lineRule="auto"/>
        <w:ind w:left="0" w:firstLine="709"/>
        <w:contextualSpacing/>
        <w:jc w:val="both"/>
        <w:rPr>
          <w:rFonts w:ascii="Times New Roman" w:hAnsi="Times New Roman" w:cs="Times New Roman"/>
          <w:color w:val="000000" w:themeColor="text1"/>
          <w:sz w:val="28"/>
          <w:szCs w:val="28"/>
        </w:rPr>
      </w:pPr>
      <w:r w:rsidRPr="00653089">
        <w:rPr>
          <w:rFonts w:ascii="Times New Roman" w:hAnsi="Times New Roman" w:cs="Times New Roman"/>
          <w:color w:val="000000" w:themeColor="text1"/>
          <w:sz w:val="28"/>
          <w:szCs w:val="28"/>
        </w:rPr>
        <w:t xml:space="preserve">Основы менеджмента в электроэнергетике под ред. </w:t>
      </w:r>
      <w:proofErr w:type="spellStart"/>
      <w:r w:rsidRPr="00653089">
        <w:rPr>
          <w:rFonts w:ascii="Times New Roman" w:hAnsi="Times New Roman" w:cs="Times New Roman"/>
          <w:color w:val="000000" w:themeColor="text1"/>
          <w:sz w:val="28"/>
          <w:szCs w:val="28"/>
        </w:rPr>
        <w:t>Ламакина</w:t>
      </w:r>
      <w:proofErr w:type="spellEnd"/>
      <w:r w:rsidRPr="00653089">
        <w:rPr>
          <w:rFonts w:ascii="Times New Roman" w:hAnsi="Times New Roman" w:cs="Times New Roman"/>
          <w:color w:val="000000" w:themeColor="text1"/>
          <w:sz w:val="28"/>
          <w:szCs w:val="28"/>
        </w:rPr>
        <w:t xml:space="preserve"> Г.Н. - Тверь: ТГТУ, 2018. - 208 с.</w:t>
      </w:r>
    </w:p>
    <w:sectPr w:rsidR="002A4749" w:rsidRPr="00CF58E4">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DA2" w:rsidRDefault="003D2DA2" w:rsidP="00C50BDD">
      <w:pPr>
        <w:spacing w:after="0" w:line="240" w:lineRule="auto"/>
      </w:pPr>
      <w:r>
        <w:separator/>
      </w:r>
    </w:p>
  </w:endnote>
  <w:endnote w:type="continuationSeparator" w:id="0">
    <w:p w:rsidR="003D2DA2" w:rsidRDefault="003D2DA2" w:rsidP="00C5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BDD" w:rsidRDefault="00C50BD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BDD" w:rsidRDefault="00C50BD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BDD" w:rsidRDefault="00C50BD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DA2" w:rsidRDefault="003D2DA2" w:rsidP="00C50BDD">
      <w:pPr>
        <w:spacing w:after="0" w:line="240" w:lineRule="auto"/>
      </w:pPr>
      <w:r>
        <w:separator/>
      </w:r>
    </w:p>
  </w:footnote>
  <w:footnote w:type="continuationSeparator" w:id="0">
    <w:p w:rsidR="003D2DA2" w:rsidRDefault="003D2DA2" w:rsidP="00C50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BDD" w:rsidRDefault="00C50BD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BDD" w:rsidRDefault="00C50BD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BDD" w:rsidRDefault="00C50BD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199D"/>
    <w:multiLevelType w:val="hybridMultilevel"/>
    <w:tmpl w:val="A1BC4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214972"/>
    <w:multiLevelType w:val="hybridMultilevel"/>
    <w:tmpl w:val="B05E7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749"/>
    <w:rsid w:val="00053B32"/>
    <w:rsid w:val="00065573"/>
    <w:rsid w:val="00082251"/>
    <w:rsid w:val="000D62BB"/>
    <w:rsid w:val="000F06E8"/>
    <w:rsid w:val="0011215D"/>
    <w:rsid w:val="001158CA"/>
    <w:rsid w:val="00115F14"/>
    <w:rsid w:val="00194C26"/>
    <w:rsid w:val="00194D84"/>
    <w:rsid w:val="001C2952"/>
    <w:rsid w:val="001C661A"/>
    <w:rsid w:val="001F23D8"/>
    <w:rsid w:val="0020245A"/>
    <w:rsid w:val="00213AB1"/>
    <w:rsid w:val="00266B31"/>
    <w:rsid w:val="002773CD"/>
    <w:rsid w:val="00297060"/>
    <w:rsid w:val="002A4749"/>
    <w:rsid w:val="002F0385"/>
    <w:rsid w:val="003C0777"/>
    <w:rsid w:val="003D0D46"/>
    <w:rsid w:val="003D2DA2"/>
    <w:rsid w:val="003F7579"/>
    <w:rsid w:val="00424945"/>
    <w:rsid w:val="00436258"/>
    <w:rsid w:val="00462D48"/>
    <w:rsid w:val="004A4EC9"/>
    <w:rsid w:val="004A6CAE"/>
    <w:rsid w:val="004E2EEB"/>
    <w:rsid w:val="004F6BE0"/>
    <w:rsid w:val="00516461"/>
    <w:rsid w:val="00563030"/>
    <w:rsid w:val="00590BA7"/>
    <w:rsid w:val="00594EE8"/>
    <w:rsid w:val="005F1E19"/>
    <w:rsid w:val="005F3915"/>
    <w:rsid w:val="006011DB"/>
    <w:rsid w:val="006411C8"/>
    <w:rsid w:val="00653089"/>
    <w:rsid w:val="00712198"/>
    <w:rsid w:val="007151E7"/>
    <w:rsid w:val="00743658"/>
    <w:rsid w:val="008546D3"/>
    <w:rsid w:val="00855167"/>
    <w:rsid w:val="0087283C"/>
    <w:rsid w:val="00887563"/>
    <w:rsid w:val="008B61C3"/>
    <w:rsid w:val="00901AFF"/>
    <w:rsid w:val="009112AA"/>
    <w:rsid w:val="00915B55"/>
    <w:rsid w:val="00977F55"/>
    <w:rsid w:val="00981B5C"/>
    <w:rsid w:val="009A5184"/>
    <w:rsid w:val="009C3D7C"/>
    <w:rsid w:val="00A50FF9"/>
    <w:rsid w:val="00A91E71"/>
    <w:rsid w:val="00AB1FEF"/>
    <w:rsid w:val="00AD4EE6"/>
    <w:rsid w:val="00AE1FCE"/>
    <w:rsid w:val="00AF78B4"/>
    <w:rsid w:val="00B02C01"/>
    <w:rsid w:val="00B37EAB"/>
    <w:rsid w:val="00B86D35"/>
    <w:rsid w:val="00B9286E"/>
    <w:rsid w:val="00B92D4F"/>
    <w:rsid w:val="00B954A0"/>
    <w:rsid w:val="00BE410E"/>
    <w:rsid w:val="00C01A12"/>
    <w:rsid w:val="00C3426F"/>
    <w:rsid w:val="00C50BDD"/>
    <w:rsid w:val="00C604B6"/>
    <w:rsid w:val="00C8242A"/>
    <w:rsid w:val="00C857B1"/>
    <w:rsid w:val="00CF58E4"/>
    <w:rsid w:val="00D242F2"/>
    <w:rsid w:val="00D36B0A"/>
    <w:rsid w:val="00D40343"/>
    <w:rsid w:val="00D40E2A"/>
    <w:rsid w:val="00D469DD"/>
    <w:rsid w:val="00D51504"/>
    <w:rsid w:val="00D54A67"/>
    <w:rsid w:val="00D962D2"/>
    <w:rsid w:val="00DA5E3F"/>
    <w:rsid w:val="00E13255"/>
    <w:rsid w:val="00E263A9"/>
    <w:rsid w:val="00E81A29"/>
    <w:rsid w:val="00EB1307"/>
    <w:rsid w:val="00ED15CA"/>
    <w:rsid w:val="00EF5C7D"/>
    <w:rsid w:val="00F63C04"/>
    <w:rsid w:val="00F64ECC"/>
    <w:rsid w:val="00F73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A47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4749"/>
    <w:rPr>
      <w:rFonts w:asciiTheme="majorHAnsi" w:eastAsiaTheme="majorEastAsia" w:hAnsiTheme="majorHAnsi" w:cstheme="majorBidi"/>
      <w:b/>
      <w:bCs/>
      <w:color w:val="365F91" w:themeColor="accent1" w:themeShade="BF"/>
      <w:sz w:val="28"/>
      <w:szCs w:val="28"/>
    </w:rPr>
  </w:style>
  <w:style w:type="paragraph" w:styleId="a3">
    <w:name w:val="List Paragraph"/>
    <w:basedOn w:val="a"/>
    <w:link w:val="a4"/>
    <w:uiPriority w:val="34"/>
    <w:qFormat/>
    <w:rsid w:val="002A4749"/>
    <w:pPr>
      <w:ind w:left="720"/>
      <w:contextualSpacing/>
    </w:pPr>
  </w:style>
  <w:style w:type="character" w:customStyle="1" w:styleId="a4">
    <w:name w:val="Абзац списка Знак"/>
    <w:basedOn w:val="a0"/>
    <w:link w:val="a3"/>
    <w:uiPriority w:val="34"/>
    <w:locked/>
    <w:rsid w:val="002A4749"/>
  </w:style>
  <w:style w:type="character" w:styleId="a5">
    <w:name w:val="Hyperlink"/>
    <w:basedOn w:val="a0"/>
    <w:uiPriority w:val="99"/>
    <w:unhideWhenUsed/>
    <w:rsid w:val="002A4749"/>
    <w:rPr>
      <w:color w:val="0000FF" w:themeColor="hyperlink"/>
      <w:u w:val="single"/>
    </w:rPr>
  </w:style>
  <w:style w:type="paragraph" w:styleId="a6">
    <w:name w:val="header"/>
    <w:basedOn w:val="a"/>
    <w:link w:val="a7"/>
    <w:uiPriority w:val="99"/>
    <w:unhideWhenUsed/>
    <w:rsid w:val="00C50BD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0BDD"/>
  </w:style>
  <w:style w:type="paragraph" w:styleId="a8">
    <w:name w:val="footer"/>
    <w:basedOn w:val="a"/>
    <w:link w:val="a9"/>
    <w:uiPriority w:val="99"/>
    <w:unhideWhenUsed/>
    <w:rsid w:val="00C50B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0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A47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4749"/>
    <w:rPr>
      <w:rFonts w:asciiTheme="majorHAnsi" w:eastAsiaTheme="majorEastAsia" w:hAnsiTheme="majorHAnsi" w:cstheme="majorBidi"/>
      <w:b/>
      <w:bCs/>
      <w:color w:val="365F91" w:themeColor="accent1" w:themeShade="BF"/>
      <w:sz w:val="28"/>
      <w:szCs w:val="28"/>
    </w:rPr>
  </w:style>
  <w:style w:type="paragraph" w:styleId="a3">
    <w:name w:val="List Paragraph"/>
    <w:basedOn w:val="a"/>
    <w:link w:val="a4"/>
    <w:uiPriority w:val="34"/>
    <w:qFormat/>
    <w:rsid w:val="002A4749"/>
    <w:pPr>
      <w:ind w:left="720"/>
      <w:contextualSpacing/>
    </w:pPr>
  </w:style>
  <w:style w:type="character" w:customStyle="1" w:styleId="a4">
    <w:name w:val="Абзац списка Знак"/>
    <w:basedOn w:val="a0"/>
    <w:link w:val="a3"/>
    <w:uiPriority w:val="34"/>
    <w:locked/>
    <w:rsid w:val="002A4749"/>
  </w:style>
  <w:style w:type="character" w:styleId="a5">
    <w:name w:val="Hyperlink"/>
    <w:basedOn w:val="a0"/>
    <w:uiPriority w:val="99"/>
    <w:unhideWhenUsed/>
    <w:rsid w:val="002A4749"/>
    <w:rPr>
      <w:color w:val="0000FF" w:themeColor="hyperlink"/>
      <w:u w:val="single"/>
    </w:rPr>
  </w:style>
  <w:style w:type="paragraph" w:styleId="a6">
    <w:name w:val="header"/>
    <w:basedOn w:val="a"/>
    <w:link w:val="a7"/>
    <w:uiPriority w:val="99"/>
    <w:unhideWhenUsed/>
    <w:rsid w:val="00C50BD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0BDD"/>
  </w:style>
  <w:style w:type="paragraph" w:styleId="a8">
    <w:name w:val="footer"/>
    <w:basedOn w:val="a"/>
    <w:link w:val="a9"/>
    <w:uiPriority w:val="99"/>
    <w:unhideWhenUsed/>
    <w:rsid w:val="00C50B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0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ultant.ru/document/cons_doc_LAW_102975/"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document/cons_doc_LAW_10297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9397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nsultant.ru/document/cons_doc_LAW_4150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base.garant.ru/18028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1360</Words>
  <Characters>7755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pompa</dc:creator>
  <cp:lastModifiedBy>pompa</cp:lastModifiedBy>
  <cp:revision>12</cp:revision>
  <dcterms:created xsi:type="dcterms:W3CDTF">2020-09-21T15:20:00Z</dcterms:created>
  <dcterms:modified xsi:type="dcterms:W3CDTF">2020-10-02T22:53:00Z</dcterms:modified>
</cp:coreProperties>
</file>